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工程项目设计文件报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审</w:t>
      </w:r>
      <w:r>
        <w:rPr>
          <w:rFonts w:hint="eastAsia" w:ascii="仿宋" w:hAnsi="仿宋" w:eastAsia="仿宋" w:cs="仿宋"/>
          <w:b/>
          <w:sz w:val="36"/>
          <w:szCs w:val="36"/>
        </w:rPr>
        <w:t>要求</w:t>
      </w:r>
    </w:p>
    <w:p>
      <w:pPr>
        <w:spacing w:line="480" w:lineRule="auto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（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桥涵等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6"/>
          <w:szCs w:val="36"/>
        </w:rPr>
        <w:t>类）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建筑总图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提报文件要求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①cad电子版文件（2008以下版本）；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②pdf电子版（彩色）；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③纸质版（白图彩打，盖公章）。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以上三个版本文件应保持一致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cad电子版要求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①2000坐标系下绘制总图，绘图比例应为1:1；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②用地红线（标注转角坐标）、建筑边线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图纸须反应桥梁及桩基础、承台设计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、工程平、纵、剖面设计</w:t>
      </w:r>
      <w:r>
        <w:rPr>
          <w:rFonts w:hint="eastAsia" w:ascii="仿宋" w:hAnsi="仿宋" w:eastAsia="仿宋" w:cs="仿宋"/>
          <w:sz w:val="32"/>
          <w:szCs w:val="32"/>
        </w:rPr>
        <w:t>及地质情况（在图中指出各边线名称或有线形图例）；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③当cad中地形为U盘外挂时，应在U盘状态下将地铁控制线描在总图中，并注明地铁）。</w:t>
      </w:r>
    </w:p>
    <w:p>
      <w:pPr>
        <w:spacing w:line="520" w:lineRule="exact"/>
        <w:ind w:firstLine="42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42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420"/>
        <w:rPr>
          <w:rFonts w:ascii="宋体" w:hAnsi="宋体"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F056D"/>
    <w:rsid w:val="0866305A"/>
    <w:rsid w:val="2CF55298"/>
    <w:rsid w:val="388E3593"/>
    <w:rsid w:val="3AEF0131"/>
    <w:rsid w:val="3E1D57A2"/>
    <w:rsid w:val="3FC5398D"/>
    <w:rsid w:val="46442A70"/>
    <w:rsid w:val="4F294EDF"/>
    <w:rsid w:val="50567DD9"/>
    <w:rsid w:val="535B6D8D"/>
    <w:rsid w:val="63344AD9"/>
    <w:rsid w:val="69D808A1"/>
    <w:rsid w:val="7EA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2022-07-28T06:44:00Z</dcterms:created>
  <dc:creator>Administrator</dc:creator>
  <cp:lastModifiedBy>SYDT</cp:lastModifiedBy>
  <dcterms:modified xsi:type="dcterms:W3CDTF">2022-10-19T07:34:49Z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