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工程项目设计文件报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审</w:t>
      </w:r>
      <w:r>
        <w:rPr>
          <w:rFonts w:hint="eastAsia" w:ascii="仿宋" w:hAnsi="仿宋" w:eastAsia="仿宋" w:cs="仿宋"/>
          <w:b/>
          <w:sz w:val="36"/>
          <w:szCs w:val="36"/>
        </w:rPr>
        <w:t>要求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（市政配套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管线</w:t>
      </w:r>
      <w:r>
        <w:rPr>
          <w:rFonts w:hint="eastAsia" w:ascii="仿宋" w:hAnsi="仿宋" w:eastAsia="仿宋" w:cs="仿宋"/>
          <w:b/>
          <w:sz w:val="36"/>
          <w:szCs w:val="36"/>
        </w:rPr>
        <w:t>类）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32"/>
          <w:szCs w:val="32"/>
        </w:rPr>
        <w:t>提报文件要求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①cad电子版文件（2008以下版本）；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②pdf电子版（彩色）；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③纸质版（盖公章）。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以上三个版本文件应保持一致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32"/>
          <w:szCs w:val="32"/>
        </w:rPr>
        <w:t>cad电子版要求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①2000坐标系下绘制总图，绘图比例应为1:1；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②总图中应可见地形，并标注管线转点坐标；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③沟槽、基坑开挖支护图（需阐明管线沟槽的施工方式，如放坡开槽、钢板桩支护、喷锚支护、顶管、拉管、工作井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平、纵、剖面设计</w:t>
      </w:r>
      <w:r>
        <w:rPr>
          <w:rFonts w:hint="eastAsia" w:ascii="仿宋" w:hAnsi="仿宋" w:eastAsia="仿宋" w:cs="仿宋"/>
          <w:sz w:val="32"/>
          <w:szCs w:val="32"/>
        </w:rPr>
        <w:t>等支护结构施工图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spacing w:line="520" w:lineRule="exact"/>
        <w:ind w:firstLine="420"/>
        <w:rPr>
          <w:rFonts w:ascii="宋体" w:hAnsi="宋体"/>
          <w:sz w:val="28"/>
          <w:szCs w:val="28"/>
        </w:rPr>
      </w:pPr>
    </w:p>
    <w:p>
      <w:pPr>
        <w:spacing w:line="276" w:lineRule="auto"/>
        <w:ind w:left="150" w:firstLine="270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50B01"/>
    <w:rsid w:val="286118B7"/>
    <w:rsid w:val="320F753D"/>
    <w:rsid w:val="4BD16655"/>
    <w:rsid w:val="4F9B1256"/>
    <w:rsid w:val="546E03E1"/>
    <w:rsid w:val="642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2022-07-28T06:46:00Z</dcterms:created>
  <dc:creator>Administrator</dc:creator>
  <cp:lastModifiedBy>lenovo</cp:lastModifiedBy>
  <dcterms:modified xsi:type="dcterms:W3CDTF">2022-10-11T07:04:40Z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